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</w:p>
    <w:p>
      <w:pPr>
        <w:pStyle w:val="Normal"/>
        <w:keepNext w:val="true"/>
        <w:keepLines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</w:p>
    <w:p>
      <w:pPr>
        <w:pStyle w:val="Default"/>
        <w:jc w:val="center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Технические требования </w:t>
      </w:r>
      <w:r>
        <w:rPr>
          <w:b/>
          <w:sz w:val="28"/>
          <w:szCs w:val="28"/>
        </w:rPr>
        <w:t>на поставку МТР</w:t>
      </w:r>
    </w:p>
    <w:p>
      <w:pPr>
        <w:pStyle w:val="Default"/>
        <w:spacing w:before="60" w:after="0"/>
        <w:ind w:firstLine="57"/>
        <w:jc w:val="center"/>
        <w:rPr>
          <w:b/>
          <w:bCs/>
        </w:rPr>
      </w:pPr>
      <w:r>
        <w:rPr>
          <w:b/>
          <w:bCs/>
          <w:color w:val="000000" w:themeColor="text1"/>
        </w:rPr>
        <w:t xml:space="preserve">ОКПД2 27.11.61.120 Поставка запасных </w:t>
      </w:r>
      <w:r>
        <w:rPr>
          <w:b/>
          <w:bCs/>
        </w:rPr>
        <w:t>частей и комплектующих для ремонта</w:t>
      </w:r>
    </w:p>
    <w:p>
      <w:pPr>
        <w:pStyle w:val="Style19"/>
        <w:spacing w:before="60" w:after="0"/>
        <w:ind w:firstLine="5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оборудования релейной защиты для нужд филиала ПАО "РусГидро"-"Воткинская ГЭС"</w:t>
      </w:r>
    </w:p>
    <w:p>
      <w:pPr>
        <w:pStyle w:val="Style19"/>
        <w:spacing w:before="60" w:after="0"/>
        <w:ind w:firstLine="567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</w:p>
    <w:p>
      <w:pPr>
        <w:pStyle w:val="Normal"/>
        <w:spacing w:before="120" w:after="0"/>
        <w:ind w:firstLine="360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  <w:t xml:space="preserve"> </w:t>
      </w:r>
      <w:r>
        <w:rPr>
          <w:rFonts w:eastAsia="Calibri"/>
          <w:b/>
          <w:color w:val="000000" w:themeColor="text1"/>
          <w:sz w:val="24"/>
          <w:szCs w:val="24"/>
        </w:rPr>
        <w:t>(Лот № 1-РЕМ-2026-ВотГЭС)</w:t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  <w:r>
        <w:br w:type="page"/>
      </w:r>
    </w:p>
    <w:p>
      <w:pPr>
        <w:pStyle w:val="Normal"/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</w:r>
    </w:p>
    <w:p>
      <w:pPr>
        <w:pStyle w:val="Normal"/>
        <w:keepNext w:val="true"/>
        <w:keepLines/>
        <w:spacing w:lineRule="auto" w:line="36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СОДЕРЖАНИЕ</w:t>
      </w:r>
    </w:p>
    <w:sdt>
      <w:sdtPr>
        <w:docPartObj>
          <w:docPartGallery w:val="Table of Contents"/>
          <w:docPartUnique w:val="true"/>
        </w:docPartObj>
        <w:id w:val="481112610"/>
      </w:sdtPr>
      <w:sdtContent>
        <w:p>
          <w:pPr>
            <w:pStyle w:val="Normal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Normal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</w:sdtContent>
    </w:sdt>
    <w:p>
      <w:pPr>
        <w:pStyle w:val="TOC1"/>
        <w:rPr>
          <w:rFonts w:ascii="Calibri" w:hAnsi="Calibri" w:eastAsia="" w:cs="" w:asciiTheme="minorHAnsi" w:cstheme="minorBidi" w:eastAsiaTheme="minorEastAsia" w:hAnsiTheme="minorHAnsi"/>
          <w:sz w:val="24"/>
          <w:szCs w:val="24"/>
        </w:rPr>
      </w:pPr>
      <w:hyperlink w:anchor="_Toc130991115">
        <w:r>
          <w:rPr>
            <w:rStyle w:val="Hyperlink"/>
            <w:sz w:val="24"/>
            <w:szCs w:val="24"/>
          </w:rPr>
          <w:t>1.</w:t>
        </w:r>
        <w:r>
          <w:rPr>
            <w:rStyle w:val="Hyperlink"/>
            <w:rFonts w:eastAsia="" w:cs="" w:ascii="Calibri" w:hAnsi="Calibri" w:asciiTheme="minorHAnsi" w:cstheme="minorBidi" w:eastAsiaTheme="minorEastAsia" w:hAnsiTheme="minorHAnsi"/>
            <w:sz w:val="24"/>
            <w:szCs w:val="24"/>
          </w:rPr>
          <w:tab/>
        </w:r>
        <w:r>
          <w:rPr>
            <w:rStyle w:val="Hyperlink"/>
            <w:sz w:val="24"/>
            <w:szCs w:val="24"/>
          </w:rPr>
          <w:t>Общие сведения</w:t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rPr>
            <w:rStyle w:val="Hyperlink"/>
            <w:vanish/>
          </w:rPr>
          <w:fldChar w:fldCharType="begin"/>
        </w:r>
        <w:r>
          <w:rPr>
            <w:rStyle w:val="Hyperlink"/>
            <w:vanish/>
          </w:rPr>
          <w:instrText xml:space="preserve"> PAGEREF _Toc130991115 \h </w:instrText>
        </w:r>
        <w:r>
          <w:rPr>
            <w:rStyle w:val="Hyperlink"/>
            <w:vanish/>
          </w:rPr>
          <w:fldChar w:fldCharType="separate"/>
        </w:r>
        <w:r>
          <w:rPr>
            <w:rStyle w:val="Hyperlink"/>
            <w:vanish/>
          </w:rPr>
          <w:t>3</w:t>
        </w:r>
        <w:r>
          <w:rPr>
            <w:rStyle w:val="Hyperlink"/>
            <w:vanish/>
          </w:rPr>
          <w:fldChar w:fldCharType="end"/>
        </w:r>
      </w:hyperlink>
      <w:r>
        <w:rPr>
          <w:rStyle w:val="Hyperlink"/>
        </w:rPr>
        <w:tab/>
        <w:t>3</w:t>
      </w:r>
    </w:p>
    <w:p>
      <w:pPr>
        <w:pStyle w:val="TOC1"/>
        <w:rPr>
          <w:rFonts w:ascii="Calibri" w:hAnsi="Calibri" w:eastAsia="" w:cs="" w:asciiTheme="minorHAnsi" w:cstheme="minorBidi" w:eastAsiaTheme="minorEastAsia" w:hAnsiTheme="minorHAnsi"/>
          <w:sz w:val="24"/>
          <w:szCs w:val="24"/>
        </w:rPr>
      </w:pPr>
      <w:hyperlink w:anchor="_Toc130991117">
        <w:r>
          <w:rPr>
            <w:rStyle w:val="Hyperlink"/>
            <w:sz w:val="24"/>
            <w:szCs w:val="24"/>
          </w:rPr>
          <w:t>1.1</w:t>
        </w:r>
        <w:r>
          <w:rPr>
            <w:rStyle w:val="Hyperlink"/>
            <w:rFonts w:eastAsia="" w:cs="" w:ascii="Calibri" w:hAnsi="Calibri" w:asciiTheme="minorHAnsi" w:cstheme="minorBidi" w:eastAsiaTheme="minorEastAsia" w:hAnsiTheme="minorHAnsi"/>
            <w:sz w:val="24"/>
            <w:szCs w:val="24"/>
          </w:rPr>
          <w:tab/>
        </w:r>
        <w:r>
          <w:rPr>
            <w:rStyle w:val="Hyperlink"/>
            <w:sz w:val="24"/>
            <w:szCs w:val="24"/>
          </w:rPr>
          <w:t>Наименование закупаемой продукции</w:t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rPr>
            <w:rStyle w:val="Hyperlink"/>
            <w:vanish/>
          </w:rPr>
          <w:fldChar w:fldCharType="begin"/>
        </w:r>
        <w:r>
          <w:rPr>
            <w:rStyle w:val="Hyperlink"/>
            <w:vanish/>
          </w:rPr>
          <w:instrText xml:space="preserve"> PAGEREF _Toc130991117 \h </w:instrText>
        </w:r>
        <w:r>
          <w:rPr>
            <w:rStyle w:val="Hyperlink"/>
            <w:vanish/>
          </w:rPr>
          <w:fldChar w:fldCharType="separate"/>
        </w:r>
        <w:r>
          <w:rPr>
            <w:rStyle w:val="Hyperlink"/>
            <w:vanish/>
          </w:rPr>
          <w:t>3</w:t>
        </w:r>
        <w:r>
          <w:rPr>
            <w:rStyle w:val="Hyperlink"/>
            <w:vanish/>
          </w:rPr>
          <w:fldChar w:fldCharType="end"/>
        </w:r>
      </w:hyperlink>
      <w:r>
        <w:rPr>
          <w:rStyle w:val="Hyperlink"/>
        </w:rPr>
        <w:tab/>
        <w:t>3</w:t>
      </w:r>
    </w:p>
    <w:p>
      <w:pPr>
        <w:pStyle w:val="TOC1"/>
        <w:rPr>
          <w:rFonts w:ascii="Calibri" w:hAnsi="Calibri" w:eastAsia="" w:cs="" w:asciiTheme="minorHAnsi" w:cstheme="minorBidi" w:eastAsiaTheme="minorEastAsia" w:hAnsiTheme="minorHAnsi"/>
          <w:sz w:val="24"/>
          <w:szCs w:val="24"/>
        </w:rPr>
      </w:pPr>
      <w:hyperlink w:anchor="_Toc130991118">
        <w:r>
          <w:rPr>
            <w:rStyle w:val="Hyperlink"/>
            <w:sz w:val="24"/>
            <w:szCs w:val="24"/>
          </w:rPr>
          <w:t>1.2</w:t>
        </w:r>
        <w:r>
          <w:rPr>
            <w:rStyle w:val="Hyperlink"/>
            <w:rFonts w:eastAsia="" w:cs="" w:ascii="Calibri" w:hAnsi="Calibri" w:asciiTheme="minorHAnsi" w:cstheme="minorBidi" w:eastAsiaTheme="minorEastAsia" w:hAnsiTheme="minorHAnsi"/>
            <w:sz w:val="24"/>
            <w:szCs w:val="24"/>
          </w:rPr>
          <w:tab/>
        </w:r>
        <w:r>
          <w:rPr>
            <w:rStyle w:val="Hyperlink"/>
            <w:sz w:val="24"/>
            <w:szCs w:val="24"/>
          </w:rPr>
          <w:t>Цель использования закупаемой продукции</w:t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rPr>
            <w:rStyle w:val="Hyperlink"/>
            <w:vanish/>
          </w:rPr>
          <w:fldChar w:fldCharType="begin"/>
        </w:r>
        <w:r>
          <w:rPr>
            <w:rStyle w:val="Hyperlink"/>
            <w:vanish/>
          </w:rPr>
          <w:instrText xml:space="preserve"> PAGEREF _Toc130991118 \h </w:instrText>
        </w:r>
        <w:r>
          <w:rPr>
            <w:rStyle w:val="Hyperlink"/>
            <w:vanish/>
          </w:rPr>
          <w:fldChar w:fldCharType="separate"/>
        </w:r>
        <w:r>
          <w:rPr>
            <w:rStyle w:val="Hyperlink"/>
            <w:vanish/>
          </w:rPr>
          <w:t>3</w:t>
        </w:r>
        <w:r>
          <w:rPr>
            <w:rStyle w:val="Hyperlink"/>
            <w:vanish/>
          </w:rPr>
          <w:fldChar w:fldCharType="end"/>
        </w:r>
      </w:hyperlink>
      <w:r>
        <w:rPr>
          <w:rStyle w:val="Hyperlink"/>
        </w:rPr>
        <w:tab/>
        <w:t>3</w:t>
      </w:r>
    </w:p>
    <w:p>
      <w:pPr>
        <w:pStyle w:val="TOC1"/>
        <w:rPr>
          <w:rFonts w:ascii="Calibri" w:hAnsi="Calibri" w:eastAsia="" w:cs="" w:asciiTheme="minorHAnsi" w:cstheme="minorBidi" w:eastAsiaTheme="minorEastAsia" w:hAnsiTheme="minorHAnsi"/>
          <w:sz w:val="24"/>
          <w:szCs w:val="24"/>
        </w:rPr>
      </w:pPr>
      <w:hyperlink w:anchor="_Toc130991119">
        <w:r>
          <w:rPr>
            <w:rStyle w:val="Hyperlink"/>
            <w:sz w:val="24"/>
            <w:szCs w:val="24"/>
          </w:rPr>
          <w:t>2. Требования к продукции</w:t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rPr>
            <w:rStyle w:val="Hyperlink"/>
            <w:vanish/>
          </w:rPr>
          <w:fldChar w:fldCharType="begin"/>
        </w:r>
        <w:r>
          <w:rPr>
            <w:rStyle w:val="Hyperlink"/>
            <w:vanish/>
          </w:rPr>
          <w:instrText xml:space="preserve"> PAGEREF _Toc130991119 \h </w:instrText>
        </w:r>
        <w:r>
          <w:rPr>
            <w:rStyle w:val="Hyperlink"/>
            <w:vanish/>
          </w:rPr>
          <w:fldChar w:fldCharType="separate"/>
        </w:r>
        <w:r>
          <w:rPr>
            <w:rStyle w:val="Hyperlink"/>
            <w:vanish/>
          </w:rPr>
          <w:t>3</w:t>
        </w:r>
        <w:r>
          <w:rPr>
            <w:rStyle w:val="Hyperlink"/>
            <w:vanish/>
          </w:rPr>
          <w:fldChar w:fldCharType="end"/>
        </w:r>
      </w:hyperlink>
      <w:r>
        <w:rPr>
          <w:rStyle w:val="Hyperlink"/>
        </w:rPr>
        <w:tab/>
        <w:t>3</w:t>
      </w:r>
    </w:p>
    <w:p>
      <w:pPr>
        <w:pStyle w:val="TOC1"/>
        <w:rPr>
          <w:rFonts w:ascii="Calibri" w:hAnsi="Calibri" w:eastAsia="" w:cs="" w:asciiTheme="minorHAnsi" w:cstheme="minorBidi" w:eastAsiaTheme="minorEastAsia" w:hAnsiTheme="minorHAnsi"/>
          <w:sz w:val="24"/>
          <w:szCs w:val="24"/>
        </w:rPr>
      </w:pPr>
      <w:hyperlink w:anchor="_Toc130991120">
        <w:r>
          <w:rPr>
            <w:rStyle w:val="Hyperlink"/>
            <w:sz w:val="24"/>
            <w:szCs w:val="24"/>
          </w:rPr>
          <w:t>2.1. Требования к объемам и срокам поставки</w:t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rPr>
            <w:rStyle w:val="Hyperlink"/>
            <w:vanish/>
          </w:rPr>
          <w:fldChar w:fldCharType="begin"/>
        </w:r>
        <w:r>
          <w:rPr>
            <w:rStyle w:val="Hyperlink"/>
            <w:vanish/>
          </w:rPr>
          <w:instrText xml:space="preserve"> PAGEREF _Toc130991120 \h </w:instrText>
        </w:r>
        <w:r>
          <w:rPr>
            <w:rStyle w:val="Hyperlink"/>
            <w:vanish/>
          </w:rPr>
          <w:fldChar w:fldCharType="separate"/>
        </w:r>
        <w:r>
          <w:rPr>
            <w:rStyle w:val="Hyperlink"/>
            <w:vanish/>
          </w:rPr>
          <w:t>3</w:t>
        </w:r>
        <w:r>
          <w:rPr>
            <w:rStyle w:val="Hyperlink"/>
            <w:vanish/>
          </w:rPr>
          <w:fldChar w:fldCharType="end"/>
        </w:r>
      </w:hyperlink>
      <w:r>
        <w:rPr>
          <w:rStyle w:val="Hyperlink"/>
        </w:rPr>
        <w:tab/>
        <w:t>3</w:t>
      </w:r>
    </w:p>
    <w:p>
      <w:pPr>
        <w:pStyle w:val="TOC1"/>
        <w:rPr>
          <w:rFonts w:ascii="Calibri" w:hAnsi="Calibri" w:eastAsia="" w:cs="" w:asciiTheme="minorHAnsi" w:cstheme="minorBidi" w:eastAsiaTheme="minorEastAsia" w:hAnsiTheme="minorHAnsi"/>
          <w:sz w:val="24"/>
          <w:szCs w:val="24"/>
        </w:rPr>
      </w:pPr>
      <w:hyperlink w:anchor="_Toc130991121">
        <w:r>
          <w:rPr>
            <w:rStyle w:val="Hyperlink"/>
            <w:sz w:val="24"/>
            <w:szCs w:val="24"/>
          </w:rPr>
          <w:t>2.1.1. Перечень и объем закупаемой продукции.</w:t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rPr>
            <w:rStyle w:val="Hyperlink"/>
            <w:vanish/>
          </w:rPr>
          <w:fldChar w:fldCharType="begin"/>
        </w:r>
        <w:r>
          <w:rPr>
            <w:rStyle w:val="Hyperlink"/>
            <w:vanish/>
          </w:rPr>
          <w:instrText xml:space="preserve"> PAGEREF _Toc130991121 \h </w:instrText>
        </w:r>
        <w:r>
          <w:rPr>
            <w:rStyle w:val="Hyperlink"/>
            <w:vanish/>
          </w:rPr>
          <w:fldChar w:fldCharType="separate"/>
        </w:r>
        <w:r>
          <w:rPr>
            <w:rStyle w:val="Hyperlink"/>
            <w:vanish/>
          </w:rPr>
          <w:t>3</w:t>
        </w:r>
        <w:r>
          <w:rPr>
            <w:rStyle w:val="Hyperlink"/>
            <w:vanish/>
          </w:rPr>
          <w:fldChar w:fldCharType="end"/>
        </w:r>
      </w:hyperlink>
      <w:r>
        <w:rPr>
          <w:rStyle w:val="Hyperlink"/>
        </w:rPr>
        <w:tab/>
        <w:t>3</w:t>
      </w:r>
    </w:p>
    <w:p>
      <w:pPr>
        <w:pStyle w:val="TOC1"/>
        <w:rPr>
          <w:rFonts w:ascii="Calibri" w:hAnsi="Calibri" w:eastAsia="" w:cs="" w:asciiTheme="minorHAnsi" w:cstheme="minorBidi" w:eastAsiaTheme="minorEastAsia" w:hAnsiTheme="minorHAnsi"/>
          <w:sz w:val="24"/>
          <w:szCs w:val="24"/>
        </w:rPr>
      </w:pPr>
      <w:hyperlink w:anchor="_Toc130991122">
        <w:r>
          <w:rPr>
            <w:rStyle w:val="Hyperlink"/>
            <w:sz w:val="24"/>
            <w:szCs w:val="24"/>
          </w:rPr>
          <w:t>2.1.2 Требования по срокам поставки продукции</w:t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rPr>
            <w:rStyle w:val="Hyperlink"/>
            <w:vanish/>
          </w:rPr>
          <w:fldChar w:fldCharType="begin"/>
        </w:r>
        <w:r>
          <w:rPr>
            <w:rStyle w:val="Hyperlink"/>
            <w:vanish/>
          </w:rPr>
          <w:instrText xml:space="preserve"> PAGEREF _Toc130991122 \h </w:instrText>
        </w:r>
        <w:r>
          <w:rPr>
            <w:rStyle w:val="Hyperlink"/>
            <w:vanish/>
          </w:rPr>
          <w:fldChar w:fldCharType="separate"/>
        </w:r>
        <w:r>
          <w:rPr>
            <w:rStyle w:val="Hyperlink"/>
            <w:vanish/>
          </w:rPr>
          <w:t>4</w:t>
        </w:r>
        <w:r>
          <w:rPr>
            <w:rStyle w:val="Hyperlink"/>
            <w:vanish/>
          </w:rPr>
          <w:fldChar w:fldCharType="end"/>
        </w:r>
      </w:hyperlink>
      <w:r>
        <w:rPr>
          <w:rStyle w:val="Hyperlink"/>
        </w:rPr>
        <w:tab/>
        <w:t>4</w:t>
      </w:r>
    </w:p>
    <w:p>
      <w:pPr>
        <w:pStyle w:val="TOC1"/>
        <w:rPr>
          <w:rFonts w:ascii="Calibri" w:hAnsi="Calibri" w:eastAsia="" w:cs="" w:asciiTheme="minorHAnsi" w:cstheme="minorBidi" w:eastAsiaTheme="minorEastAsia" w:hAnsiTheme="minorHAnsi"/>
          <w:sz w:val="24"/>
          <w:szCs w:val="24"/>
        </w:rPr>
      </w:pPr>
      <w:hyperlink w:anchor="_Toc130991123">
        <w:r>
          <w:rPr>
            <w:rStyle w:val="Hyperlink"/>
            <w:sz w:val="24"/>
            <w:szCs w:val="24"/>
          </w:rPr>
          <w:t>2.2. Требования к качеству продукции</w:t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rPr>
            <w:rStyle w:val="Hyperlink"/>
            <w:vanish/>
          </w:rPr>
          <w:fldChar w:fldCharType="begin"/>
        </w:r>
        <w:r>
          <w:rPr>
            <w:rStyle w:val="Hyperlink"/>
            <w:vanish/>
          </w:rPr>
          <w:instrText xml:space="preserve"> PAGEREF _Toc130991123 \h </w:instrText>
        </w:r>
        <w:r>
          <w:rPr>
            <w:rStyle w:val="Hyperlink"/>
            <w:vanish/>
          </w:rPr>
          <w:fldChar w:fldCharType="separate"/>
        </w:r>
        <w:r>
          <w:rPr>
            <w:rStyle w:val="Hyperlink"/>
            <w:vanish/>
          </w:rPr>
          <w:t>5</w:t>
        </w:r>
        <w:r>
          <w:rPr>
            <w:rStyle w:val="Hyperlink"/>
            <w:vanish/>
          </w:rPr>
          <w:fldChar w:fldCharType="end"/>
        </w:r>
      </w:hyperlink>
      <w:r>
        <w:rPr>
          <w:rStyle w:val="Hyperlink"/>
        </w:rPr>
        <w:tab/>
        <w:t>5</w:t>
      </w:r>
    </w:p>
    <w:p>
      <w:pPr>
        <w:pStyle w:val="TOC3"/>
        <w:rPr>
          <w:rFonts w:ascii="Calibri" w:hAnsi="Calibri" w:eastAsia="" w:cs="" w:asciiTheme="minorHAnsi" w:cstheme="minorBidi" w:eastAsiaTheme="minorEastAsia" w:hAnsiTheme="minorHAnsi"/>
          <w:sz w:val="24"/>
          <w:szCs w:val="24"/>
        </w:rPr>
      </w:pPr>
      <w:hyperlink w:anchor="_Toc130991124">
        <w:r>
          <w:rPr>
            <w:rStyle w:val="Hyperlink"/>
            <w:sz w:val="24"/>
            <w:szCs w:val="24"/>
          </w:rPr>
          <w:t>3. Требования к документации по ценообразованию на этапе закупки</w:t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fldChar w:fldCharType="begin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separate"/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</w:r>
        <w:r>
          <w:rPr>
            <w:rStyle w:val="Hyperlink"/>
            <w:sz w:val="24"/>
            <w:szCs w:val="24"/>
          </w:rPr>
          <w:fldChar w:fldCharType="end"/>
        </w:r>
        <w:r>
          <w:rPr>
            <w:rStyle w:val="Hyperlink"/>
            <w:vanish/>
          </w:rPr>
          <w:fldChar w:fldCharType="begin"/>
        </w:r>
        <w:r>
          <w:rPr>
            <w:rStyle w:val="Hyperlink"/>
            <w:vanish/>
          </w:rPr>
          <w:instrText xml:space="preserve"> PAGEREF _Toc130991124 \h </w:instrText>
        </w:r>
        <w:r>
          <w:rPr>
            <w:rStyle w:val="Hyperlink"/>
            <w:vanish/>
          </w:rPr>
          <w:fldChar w:fldCharType="separate"/>
        </w:r>
        <w:r>
          <w:rPr>
            <w:rStyle w:val="Hyperlink"/>
            <w:vanish/>
          </w:rPr>
          <w:t>15</w:t>
        </w:r>
        <w:r>
          <w:rPr>
            <w:rStyle w:val="Hyperlink"/>
            <w:vanish/>
          </w:rPr>
          <w:fldChar w:fldCharType="end"/>
        </w:r>
      </w:hyperlink>
      <w:r>
        <w:rPr>
          <w:rStyle w:val="Hyperlink"/>
        </w:rPr>
        <w:tab/>
        <w:t>15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4"/>
        </w:numPr>
        <w:ind w:left="284" w:hanging="284"/>
        <w:rPr/>
      </w:pPr>
      <w:bookmarkStart w:id="0" w:name="_Toc130991115"/>
      <w:r>
        <w:rPr/>
        <w:t>Общие сведения</w:t>
      </w:r>
      <w:bookmarkEnd w:id="0"/>
    </w:p>
    <w:p>
      <w:pPr>
        <w:pStyle w:val="Heading1"/>
        <w:numPr>
          <w:ilvl w:val="1"/>
          <w:numId w:val="3"/>
        </w:numPr>
        <w:ind w:left="709" w:hanging="425"/>
        <w:rPr>
          <w:sz w:val="24"/>
          <w:szCs w:val="24"/>
        </w:rPr>
      </w:pPr>
      <w:bookmarkStart w:id="1" w:name="_Toc46743506"/>
      <w:bookmarkStart w:id="2" w:name="_Toc130991117"/>
      <w:bookmarkStart w:id="3" w:name="_Toc75446568"/>
      <w:r>
        <w:rPr>
          <w:sz w:val="24"/>
          <w:szCs w:val="24"/>
        </w:rPr>
        <w:t>Наименование закупаемой продукции</w:t>
      </w:r>
      <w:bookmarkEnd w:id="1"/>
      <w:bookmarkEnd w:id="2"/>
      <w:bookmarkEnd w:id="3"/>
    </w:p>
    <w:p>
      <w:pPr>
        <w:pStyle w:val="Style19"/>
        <w:spacing w:before="6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ascii="Times New Roman" w:hAnsi="Times New Roman"/>
          <w:color w:val="000000" w:themeColor="text1"/>
          <w:sz w:val="24"/>
          <w:szCs w:val="24"/>
        </w:rPr>
        <w:t xml:space="preserve">ОКПД2 27.11.61.120 Поставка запасных </w:t>
      </w:r>
      <w:r>
        <w:rPr>
          <w:rFonts w:ascii="Times New Roman" w:hAnsi="Times New Roman"/>
          <w:sz w:val="24"/>
          <w:szCs w:val="24"/>
        </w:rPr>
        <w:t>частей и комплектующих для ремонта оборудования релейной защиты для нужд филиала ПАО «РусГидро»-«Воткинская ГЭС».</w:t>
      </w:r>
    </w:p>
    <w:p>
      <w:pPr>
        <w:pStyle w:val="Style19"/>
        <w:spacing w:before="6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9"/>
        <w:numPr>
          <w:ilvl w:val="1"/>
          <w:numId w:val="3"/>
        </w:numPr>
        <w:ind w:left="709" w:hanging="425"/>
        <w:rPr>
          <w:rFonts w:ascii="Times New Roman" w:hAnsi="Times New Roman" w:cs="Times New Roman"/>
          <w:b/>
          <w:sz w:val="24"/>
          <w:szCs w:val="24"/>
        </w:rPr>
      </w:pPr>
      <w:bookmarkStart w:id="4" w:name="_Toc75446569"/>
      <w:bookmarkStart w:id="5" w:name="_Toc130991118"/>
      <w:bookmarkStart w:id="6" w:name="_Toc46743507"/>
      <w:r>
        <w:rPr>
          <w:rFonts w:cs="Times New Roman" w:ascii="Times New Roman" w:hAnsi="Times New Roman"/>
          <w:b/>
          <w:sz w:val="24"/>
          <w:szCs w:val="24"/>
        </w:rPr>
        <w:t xml:space="preserve">Цель </w:t>
      </w:r>
      <w:bookmarkEnd w:id="6"/>
      <w:r>
        <w:rPr>
          <w:rFonts w:cs="Times New Roman" w:ascii="Times New Roman" w:hAnsi="Times New Roman"/>
          <w:b/>
          <w:sz w:val="24"/>
          <w:szCs w:val="24"/>
        </w:rPr>
        <w:t>использования закупаемой продукции</w:t>
      </w:r>
      <w:bookmarkEnd w:id="5"/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bookmarkEnd w:id="4"/>
    </w:p>
    <w:p>
      <w:pPr>
        <w:pStyle w:val="Normal"/>
        <w:spacing w:before="60" w:after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>Обеспечение запасными частями и комплектующими для ремонта оборудования релейной защиты для нужд филиала ПАО «РусГидро»-«Воткинская ГЭС».</w:t>
      </w:r>
    </w:p>
    <w:p>
      <w:pPr>
        <w:pStyle w:val="Normal"/>
        <w:spacing w:before="60" w:after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Heading1"/>
        <w:ind w:left="0" w:hanging="0"/>
        <w:rPr/>
      </w:pPr>
      <w:bookmarkStart w:id="7" w:name="_Toc51339693"/>
      <w:bookmarkStart w:id="8" w:name="_Toc75446573"/>
      <w:bookmarkStart w:id="9" w:name="_Toc130991119"/>
      <w:r>
        <w:rPr>
          <w:lang w:val="ru-RU"/>
        </w:rPr>
        <w:t xml:space="preserve">2. </w:t>
      </w:r>
      <w:r>
        <w:rPr/>
        <w:t>Требования к продукции</w:t>
      </w:r>
      <w:bookmarkEnd w:id="7"/>
      <w:bookmarkEnd w:id="8"/>
      <w:bookmarkEnd w:id="9"/>
    </w:p>
    <w:p>
      <w:pPr>
        <w:pStyle w:val="Heading1"/>
        <w:rPr>
          <w:sz w:val="24"/>
          <w:szCs w:val="24"/>
        </w:rPr>
      </w:pPr>
      <w:bookmarkStart w:id="10" w:name="_Toc75446574"/>
      <w:bookmarkStart w:id="11" w:name="_Toc130991120"/>
      <w:r>
        <w:rPr>
          <w:sz w:val="24"/>
          <w:szCs w:val="24"/>
        </w:rPr>
        <w:t>2.1. Требования к объемам и срокам поставки</w:t>
      </w:r>
      <w:bookmarkEnd w:id="10"/>
      <w:bookmarkEnd w:id="11"/>
    </w:p>
    <w:p>
      <w:pPr>
        <w:pStyle w:val="Heading1"/>
        <w:rPr>
          <w:sz w:val="24"/>
          <w:szCs w:val="24"/>
        </w:rPr>
      </w:pPr>
      <w:bookmarkStart w:id="12" w:name="_Toc130991121"/>
      <w:bookmarkStart w:id="13" w:name="_Toc75446575"/>
      <w:r>
        <w:rPr>
          <w:sz w:val="24"/>
          <w:szCs w:val="24"/>
        </w:rPr>
        <w:t>2.1.1. Перечень и объем закупаемой продукции</w:t>
      </w:r>
      <w:bookmarkEnd w:id="13"/>
      <w:r>
        <w:rPr>
          <w:sz w:val="24"/>
          <w:szCs w:val="24"/>
        </w:rPr>
        <w:t>.</w:t>
      </w:r>
      <w:bookmarkEnd w:id="12"/>
    </w:p>
    <w:p>
      <w:pPr>
        <w:pStyle w:val="Normal"/>
        <w:spacing w:lineRule="auto" w:line="360"/>
        <w:rPr>
          <w:rFonts w:eastAsia="Calibri"/>
          <w:b/>
          <w:sz w:val="24"/>
          <w:szCs w:val="24"/>
          <w:lang w:eastAsia="x-none"/>
        </w:rPr>
      </w:pPr>
      <w:bookmarkStart w:id="14" w:name="_Toc122705682"/>
      <w:bookmarkStart w:id="15" w:name="_Toc75446576"/>
      <w:bookmarkStart w:id="16" w:name="_Toc51339695"/>
      <w:r>
        <w:rPr>
          <w:rFonts w:eastAsia="Calibri"/>
          <w:b/>
          <w:sz w:val="24"/>
          <w:szCs w:val="24"/>
          <w:lang w:eastAsia="x-none"/>
        </w:rPr>
        <w:t xml:space="preserve">   </w:t>
      </w:r>
      <w:r>
        <w:rPr>
          <w:rFonts w:eastAsia="Calibri"/>
          <w:b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sz w:val="24"/>
          <w:szCs w:val="24"/>
          <w:lang w:eastAsia="x-none"/>
        </w:rPr>
        <w:t>1.</w:t>
      </w:r>
      <w:r>
        <w:rPr>
          <w:rFonts w:eastAsia="Calibri"/>
          <w:b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sz w:val="24"/>
          <w:szCs w:val="24"/>
          <w:lang w:eastAsia="x-none"/>
        </w:rPr>
        <w:t xml:space="preserve">Перечень </w:t>
      </w:r>
      <w:bookmarkEnd w:id="16"/>
      <w:r>
        <w:rPr>
          <w:rFonts w:eastAsia="Calibri"/>
          <w:b/>
          <w:sz w:val="24"/>
          <w:szCs w:val="24"/>
          <w:lang w:eastAsia="x-none"/>
        </w:rPr>
        <w:t>и объем закупаемой продукции</w:t>
      </w:r>
      <w:bookmarkEnd w:id="14"/>
      <w:bookmarkEnd w:id="15"/>
    </w:p>
    <w:tbl>
      <w:tblPr>
        <w:tblW w:w="9939" w:type="dxa"/>
        <w:jc w:val="left"/>
        <w:tblInd w:w="1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46"/>
        <w:gridCol w:w="7755"/>
        <w:gridCol w:w="700"/>
        <w:gridCol w:w="702"/>
        <w:gridCol w:w="236"/>
      </w:tblGrid>
      <w:tr>
        <w:trPr>
          <w:tblHeader w:val="true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Наименование продукции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blHeader w:val="true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2"/>
                <w:szCs w:val="22"/>
              </w:rPr>
              <w:t xml:space="preserve">ОКПД2 26.51.52.130 </w:t>
            </w:r>
            <w:r>
              <w:rPr>
                <w:color w:val="000000"/>
                <w:sz w:val="22"/>
                <w:szCs w:val="22"/>
              </w:rPr>
              <w:t>Манометр показывающий сигнализирующий ДМ2005СгУ2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2"/>
                <w:szCs w:val="22"/>
              </w:rPr>
              <w:t xml:space="preserve">ОКПД2 26.51.52.130 </w:t>
            </w:r>
            <w:r>
              <w:rPr>
                <w:color w:val="000000"/>
                <w:sz w:val="22"/>
                <w:szCs w:val="22"/>
              </w:rPr>
              <w:t>Манометр показывающий сигнализирующий ДМ2010Сг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ОКПД2 26.51.51.110 Термопреобразователь ТСМ 9203-15 У2*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26.51.43.111 </w:t>
            </w:r>
            <w:r>
              <w:rPr>
                <w:color w:val="000000"/>
                <w:sz w:val="22"/>
                <w:szCs w:val="22"/>
              </w:rPr>
              <w:t>Амперметр Э42704; диапазон 0 — 150 А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26.51.43.111 </w:t>
            </w:r>
            <w:r>
              <w:rPr>
                <w:color w:val="000000"/>
                <w:sz w:val="22"/>
                <w:szCs w:val="22"/>
              </w:rPr>
              <w:t>Амперметр Э42704; диапазон 0 — 300 А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26.51.43.111 </w:t>
            </w:r>
            <w:r>
              <w:rPr>
                <w:color w:val="000000"/>
                <w:sz w:val="22"/>
                <w:szCs w:val="22"/>
              </w:rPr>
              <w:t>Амперметр Э42704; диапазон 0 — 500 А,</w:t>
            </w:r>
          </w:p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«красная черта» 140 А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26.51.43.111 </w:t>
            </w:r>
            <w:r>
              <w:rPr>
                <w:color w:val="000000"/>
                <w:sz w:val="22"/>
                <w:szCs w:val="22"/>
              </w:rPr>
              <w:t>Амперметр Э42704; диапазон 0 — 500 А,</w:t>
            </w:r>
          </w:p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«красная черта» 250 А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26.51.43.111 </w:t>
            </w:r>
            <w:r>
              <w:rPr>
                <w:color w:val="000000"/>
                <w:sz w:val="22"/>
                <w:szCs w:val="22"/>
              </w:rPr>
              <w:t>Амперметр Э42704; диапазон 0 — 600 А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26.51.43.111 </w:t>
            </w:r>
            <w:r>
              <w:rPr>
                <w:color w:val="000000"/>
                <w:sz w:val="22"/>
                <w:szCs w:val="22"/>
              </w:rPr>
              <w:t>Амперметр Э42704; диапазон 0 — 800 А,</w:t>
            </w:r>
          </w:p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«красная черта» 800 А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26.51.43.111 </w:t>
            </w:r>
            <w:r>
              <w:rPr>
                <w:color w:val="000000"/>
                <w:sz w:val="22"/>
                <w:szCs w:val="22"/>
              </w:rPr>
              <w:t>Амперметр Э42704; диапазон 0 — 800 А,</w:t>
            </w:r>
          </w:p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«красная черта» 450 А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26.51.43.111 </w:t>
            </w:r>
            <w:r>
              <w:rPr>
                <w:color w:val="000000"/>
                <w:sz w:val="22"/>
                <w:szCs w:val="22"/>
              </w:rPr>
              <w:t>Амперметр Э42704; диапазон 0 — 1000 А,</w:t>
            </w:r>
          </w:p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«красная черта» 680 А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26.51.43.111 </w:t>
            </w:r>
            <w:r>
              <w:rPr>
                <w:color w:val="000000"/>
                <w:sz w:val="22"/>
                <w:szCs w:val="22"/>
              </w:rPr>
              <w:t>Амперметр Э42704; диапазон 0 — 1000 А,</w:t>
            </w:r>
          </w:p>
          <w:p>
            <w:pPr>
              <w:pStyle w:val="Normal"/>
              <w:widowControl w:val="false"/>
              <w:ind w:right="-107" w:hang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«красная черта» 800 А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7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26.51.43.111 </w:t>
            </w:r>
            <w:r>
              <w:rPr>
                <w:color w:val="000000"/>
                <w:sz w:val="22"/>
                <w:szCs w:val="22"/>
              </w:rPr>
              <w:t>Амперметр Э42704; диапазон 0 — 1500 А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26.51.43.112 </w:t>
            </w:r>
            <w:r>
              <w:rPr>
                <w:color w:val="000000"/>
                <w:sz w:val="22"/>
                <w:szCs w:val="22"/>
              </w:rPr>
              <w:t>Вольтметр Ц42704 диапазон 0 — 500 В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ОКПД2 26.51.45.110 Прибор для измерений показателей качества и учета электрической энергии PM130P Plus-50Hz-5-H-ACDC-870*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ОКПД2 26.20.40.112 Источник питания PHOENIX CONTACT QUINT-PS/1AC/24DC/20*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ОКПД2 27.90.52.000 Конденсатор КЕМЕТ MKP C.4C*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ОКПД2 27.33.11.160 Выключатель концевой ВП 19М-21Б-421-67 У2.16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</w:t>
            </w:r>
            <w:r>
              <w:rPr>
                <w:color w:val="000000"/>
                <w:sz w:val="22"/>
                <w:szCs w:val="22"/>
              </w:rPr>
              <w:t>26.51.70.110 Б</w:t>
            </w:r>
            <w:r>
              <w:rPr>
                <w:sz w:val="22"/>
                <w:szCs w:val="22"/>
              </w:rPr>
              <w:t>лок контроля температуры Термодат 11МЗТ1*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2"/>
                <w:szCs w:val="22"/>
              </w:rPr>
              <w:t xml:space="preserve">ОКПД2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27.11.61.120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Программируемый логический контроллер (ОВЕН. ПЛК110 [М02] программируемый контроллер для средних систем ПЛК110-220.60.Р-М)*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ОКПД2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27.11.61.120</w:t>
            </w:r>
            <w:r>
              <w:rPr>
                <w:sz w:val="22"/>
                <w:szCs w:val="22"/>
              </w:rPr>
              <w:t xml:space="preserve"> Реле промежуточно-указательное РЭПУ-12М-211-1-У3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93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0" w:leader="none"/>
              </w:tabs>
              <w:ind w:left="0" w:hanging="0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*Поставка эквивалентов не допускается, т.к. закупаемая продукция будет устанавливаться в оборудование системы возбуждения гидрогенераторов иностранного производства и шкафы релейной защиты и измерений, уже эксплуатируемые Заказчиком</w:t>
            </w:r>
          </w:p>
        </w:tc>
      </w:tr>
    </w:tbl>
    <w:p>
      <w:pPr>
        <w:pStyle w:val="Heading1"/>
        <w:rPr>
          <w:sz w:val="24"/>
          <w:szCs w:val="24"/>
        </w:rPr>
      </w:pPr>
      <w:bookmarkStart w:id="17" w:name="_Toc130991122"/>
      <w:bookmarkStart w:id="18" w:name="_Toc75446579"/>
      <w:bookmarkStart w:id="19" w:name="_Toc50125127"/>
      <w:bookmarkStart w:id="20" w:name="_Toc51339697"/>
      <w:bookmarkStart w:id="21" w:name="_Toc50125126"/>
      <w:bookmarkEnd w:id="21"/>
      <w:r>
        <w:rPr>
          <w:sz w:val="24"/>
          <w:szCs w:val="24"/>
        </w:rPr>
        <w:t xml:space="preserve">2.1.2 </w:t>
      </w:r>
      <w:bookmarkStart w:id="22" w:name="_Hlk50465284"/>
      <w:r>
        <w:rPr>
          <w:sz w:val="24"/>
          <w:szCs w:val="24"/>
        </w:rPr>
        <w:t xml:space="preserve">Требования по срокам </w:t>
      </w:r>
      <w:bookmarkEnd w:id="19"/>
      <w:bookmarkEnd w:id="20"/>
      <w:bookmarkEnd w:id="22"/>
      <w:r>
        <w:rPr>
          <w:sz w:val="24"/>
          <w:szCs w:val="24"/>
        </w:rPr>
        <w:t>поставки продукции</w:t>
      </w:r>
      <w:bookmarkEnd w:id="17"/>
      <w:bookmarkEnd w:id="18"/>
      <w:r>
        <w:rPr>
          <w:sz w:val="24"/>
          <w:szCs w:val="24"/>
        </w:rPr>
        <w:t xml:space="preserve"> </w:t>
      </w:r>
    </w:p>
    <w:p>
      <w:pPr>
        <w:pStyle w:val="Normal"/>
        <w:jc w:val="both"/>
        <w:rPr>
          <w:sz w:val="24"/>
          <w:szCs w:val="24"/>
          <w:lang w:eastAsia="x-none"/>
        </w:rPr>
      </w:pPr>
      <w:r>
        <w:rPr>
          <w:lang w:eastAsia="x-none"/>
        </w:rPr>
        <w:t xml:space="preserve">          </w:t>
      </w:r>
      <w:r>
        <w:rPr>
          <w:sz w:val="24"/>
          <w:szCs w:val="24"/>
          <w:lang w:eastAsia="x-none"/>
        </w:rPr>
        <w:t>Начало поставки продукции: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  <w:lang w:eastAsia="x-none"/>
        </w:rPr>
        <w:t>со дня, следующего за днем заключения Договора</w:t>
      </w:r>
    </w:p>
    <w:p>
      <w:pPr>
        <w:pStyle w:val="Normal"/>
        <w:shd w:val="clear" w:color="auto" w:fill="FFFFFF" w:themeFill="background1"/>
        <w:jc w:val="both"/>
        <w:rPr>
          <w:i/>
          <w:i/>
          <w:sz w:val="24"/>
          <w:szCs w:val="24"/>
        </w:rPr>
      </w:pPr>
      <w:r>
        <w:rPr/>
        <w:t xml:space="preserve">          </w:t>
      </w:r>
      <w:r>
        <w:rPr>
          <w:sz w:val="24"/>
          <w:szCs w:val="24"/>
        </w:rPr>
        <w:t xml:space="preserve">Окончание поставки продукции: </w:t>
      </w:r>
      <w:r>
        <w:rPr>
          <w:i/>
          <w:sz w:val="24"/>
          <w:szCs w:val="24"/>
        </w:rPr>
        <w:t xml:space="preserve">в течение 91 календарного дня </w:t>
      </w:r>
      <w:r>
        <w:rPr>
          <w:i/>
          <w:sz w:val="24"/>
          <w:szCs w:val="24"/>
          <w:lang w:eastAsia="x-none"/>
        </w:rPr>
        <w:t>со дня, следующего за днем заключения Договора</w:t>
      </w:r>
      <w:r>
        <w:rPr>
          <w:i/>
          <w:sz w:val="24"/>
          <w:szCs w:val="24"/>
        </w:rPr>
        <w:t>**</w:t>
      </w:r>
    </w:p>
    <w:p>
      <w:pPr>
        <w:pStyle w:val="Normal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            </w:t>
      </w:r>
      <w:r>
        <w:rPr>
          <w:sz w:val="24"/>
          <w:szCs w:val="24"/>
          <w:lang w:eastAsia="x-none"/>
        </w:rPr>
        <w:t>Поставка продукции осуществляется одной партией в рамках вышеуказанных сроков.</w:t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707" w:gutter="0" w:header="680" w:top="994" w:footer="0" w:bottom="426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spacing w:before="40" w:after="0"/>
        <w:jc w:val="both"/>
        <w:rPr>
          <w:sz w:val="22"/>
          <w:szCs w:val="22"/>
          <w:lang w:eastAsia="x-none"/>
        </w:rPr>
      </w:pPr>
      <w:bookmarkStart w:id="23" w:name="_Toc46743510"/>
      <w:r>
        <w:rPr>
          <w:rFonts w:eastAsia="Calibri"/>
          <w:i/>
          <w:sz w:val="22"/>
          <w:szCs w:val="22"/>
        </w:rPr>
        <w:t>**Участник в своем предложении должен указать конкретный срок поставки продукции в рамках с</w:t>
      </w:r>
      <w:bookmarkEnd w:id="23"/>
      <w:r>
        <w:rPr>
          <w:rFonts w:eastAsia="Calibri"/>
          <w:i/>
          <w:sz w:val="22"/>
          <w:szCs w:val="22"/>
        </w:rPr>
        <w:t>рока, требуемого Заказчиком</w:t>
      </w:r>
    </w:p>
    <w:p>
      <w:pPr>
        <w:pStyle w:val="Heading1"/>
        <w:ind w:left="0" w:hanging="0"/>
        <w:rPr>
          <w:sz w:val="24"/>
          <w:szCs w:val="24"/>
          <w:lang w:val="ru-RU"/>
        </w:rPr>
      </w:pPr>
      <w:bookmarkStart w:id="24" w:name="_Toc130991123"/>
      <w:bookmarkStart w:id="25" w:name="_Toc75446581"/>
      <w:bookmarkStart w:id="26" w:name="_Toc46743511"/>
      <w:r>
        <w:rPr>
          <w:sz w:val="24"/>
          <w:szCs w:val="24"/>
          <w:lang w:val="ru-RU"/>
        </w:rPr>
        <w:t xml:space="preserve">2.2. Требования к </w:t>
      </w:r>
      <w:bookmarkEnd w:id="26"/>
      <w:r>
        <w:rPr>
          <w:sz w:val="24"/>
          <w:szCs w:val="24"/>
          <w:lang w:val="ru-RU"/>
        </w:rPr>
        <w:t>качеству продукции</w:t>
      </w:r>
      <w:bookmarkEnd w:id="24"/>
      <w:bookmarkEnd w:id="25"/>
    </w:p>
    <w:p>
      <w:pPr>
        <w:pStyle w:val="Normal"/>
        <w:rPr>
          <w:rStyle w:val="Style9"/>
          <w:b w:val="false"/>
          <w:i w:val="false"/>
          <w:i w:val="false"/>
          <w:sz w:val="24"/>
          <w:szCs w:val="24"/>
        </w:rPr>
      </w:pPr>
      <w:bookmarkStart w:id="27" w:name="_Toc50125131"/>
      <w:bookmarkStart w:id="28" w:name="_Toc51339698"/>
      <w:bookmarkStart w:id="29" w:name="_Toc75446582"/>
      <w:r>
        <w:rPr>
          <w:b/>
          <w:sz w:val="24"/>
          <w:szCs w:val="24"/>
        </w:rPr>
        <w:t>Таблица 2. Требования к продукции</w:t>
      </w:r>
      <w:bookmarkEnd w:id="27"/>
      <w:bookmarkEnd w:id="28"/>
      <w:bookmarkEnd w:id="29"/>
    </w:p>
    <w:p>
      <w:pPr>
        <w:pStyle w:val="Normal"/>
        <w:spacing w:before="60" w:after="60"/>
        <w:jc w:val="both"/>
        <w:rPr>
          <w:rStyle w:val="Style9"/>
          <w:iCs/>
          <w:sz w:val="24"/>
          <w:szCs w:val="24"/>
          <w:u w:val="single"/>
          <w:shd w:fill="auto" w:val="clear"/>
        </w:rPr>
      </w:pPr>
      <w:r>
        <w:rPr>
          <w:rStyle w:val="Style9"/>
          <w:bCs/>
          <w:iCs/>
          <w:sz w:val="24"/>
          <w:szCs w:val="24"/>
          <w:shd w:fill="auto" w:val="clear"/>
        </w:rPr>
        <w:t xml:space="preserve">Наименование продукции: </w:t>
      </w:r>
      <w:r>
        <w:rPr>
          <w:rStyle w:val="Style9"/>
          <w:bCs/>
          <w:iCs/>
          <w:sz w:val="24"/>
          <w:szCs w:val="24"/>
          <w:u w:val="single"/>
          <w:shd w:fill="auto" w:val="clear"/>
        </w:rPr>
        <w:t>ОКПД2 27.11.61.120 Поставка з</w:t>
      </w:r>
      <w:r>
        <w:rPr>
          <w:rStyle w:val="Style9"/>
          <w:iCs/>
          <w:sz w:val="24"/>
          <w:szCs w:val="24"/>
          <w:u w:val="single"/>
          <w:shd w:fill="auto" w:val="clear"/>
        </w:rPr>
        <w:t>апасных частей и комплектующих для ремонта оборудования</w:t>
      </w:r>
      <w:r>
        <w:rPr>
          <w:rStyle w:val="Style9"/>
          <w:bCs/>
          <w:sz w:val="24"/>
          <w:szCs w:val="24"/>
          <w:u w:val="single"/>
          <w:shd w:fill="auto" w:val="clear"/>
        </w:rPr>
        <w:t xml:space="preserve"> </w:t>
      </w:r>
      <w:r>
        <w:rPr>
          <w:rStyle w:val="Style9"/>
          <w:iCs/>
          <w:sz w:val="24"/>
          <w:szCs w:val="24"/>
          <w:u w:val="single"/>
          <w:shd w:fill="auto" w:val="clear"/>
        </w:rPr>
        <w:t>релейной защиты</w:t>
      </w:r>
      <w:r>
        <w:rPr>
          <w:rStyle w:val="Style9"/>
          <w:b w:val="false"/>
          <w:iCs/>
          <w:u w:val="single"/>
          <w:shd w:fill="auto" w:val="clear"/>
        </w:rPr>
        <w:t xml:space="preserve"> </w:t>
      </w:r>
    </w:p>
    <w:tbl>
      <w:tblPr>
        <w:tblStyle w:val="aff9"/>
        <w:tblW w:w="1530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52"/>
        <w:gridCol w:w="3108"/>
        <w:gridCol w:w="5113"/>
        <w:gridCol w:w="1984"/>
        <w:gridCol w:w="2125"/>
        <w:gridCol w:w="2126"/>
      </w:tblGrid>
      <w:tr>
        <w:trPr>
          <w:tblHeader w:val="true"/>
        </w:trPr>
        <w:tc>
          <w:tcPr>
            <w:tcW w:w="85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108" w:type="dxa"/>
            <w:vMerge w:val="restart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Наименование параметра</w:t>
            </w:r>
          </w:p>
        </w:tc>
        <w:tc>
          <w:tcPr>
            <w:tcW w:w="511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Требование Заказчика</w:t>
            </w:r>
          </w:p>
        </w:tc>
        <w:tc>
          <w:tcPr>
            <w:tcW w:w="410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12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14" w:right="-83" w:hanging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Предложение Участника по характеристикам и параметрам</w:t>
            </w:r>
          </w:p>
        </w:tc>
      </w:tr>
      <w:tr>
        <w:trPr>
          <w:tblHeader w:val="true"/>
        </w:trPr>
        <w:tc>
          <w:tcPr>
            <w:tcW w:w="85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0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11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Согласие с требованием/ указание характеристик</w:t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103" w:hanging="10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blHeader w:val="true"/>
        </w:trPr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kern w:val="0"/>
                <w:lang w:val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10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51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6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before="60" w:after="60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Манометр показывающий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сигнализирующий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ДМ2005СгУ2-1.0MPa-Ф-G1/2; Р = 0...1 МПа; КТ 1,5; 160 мм; штуцер радиальный, задний фланец, резьба G1/2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5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Манометр показывающий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сигнализирующий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ДМ2010Сг; Р = 0...1 МПа; КТ 1,5; 100 мм; штуцер радиальный, без фланца, резьба G1/2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Термопреобразователь*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ТСМ 9203-15 У2; 250мм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диапазон измеряемых температур, °C -50...+180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номинальная статическая характеристика 50М, 100М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класс допуска В, С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время термической реакции, с 8 - для 06, 30 - для 08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степень защиты от пыли и воды IP55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материал защитной арматуры ст. 12Х18Н10Т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номинальное значение α, °Cˉ¹; (W100) 0.00428 (1.4280)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диапазон условных давлений, МПа 0.4 - для 06, 0.1 - для 08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устойчивость к вибрации Группа исп. N3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вид климатического исполнения У2, Т2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масса, кг, не более 0.11...4.00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средняя наработка до отказа, ч 100000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Измерения температуры: жидких и газообразных сред, твердого тела, воздуха грузовых изотермических вагонов.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 комплекте с маслобензостойким кабелем. Температура применения до +220 °С.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Способ крепления: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 Неподвижный штуцер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 Фланец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- Спец. гнездо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Standard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i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Амперметр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Э42704; диапазон 0 — 150 А; 150/5 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 xml:space="preserve">«красная черта» 150 А; класс точности 1,5;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размер 72х72мм;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вертикальное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положение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Амперметр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Э42704; диапазон 0 — 300 А; 300/5 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«красная черта» 300 А; класс точности 1,5; размер 72х72мм; вертикальное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положение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Амперметр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Э42704; диапазон 0 — 500 А; 500/5 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«красная черта» 140 А; класс точности 1,5; размер 72х72мм; вертикальное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положение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Амперметр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Э42704; диапазон 0 — 500 А; 500/5 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«красная черта» 250 А; класс точности 1,5; размер 72х72мм; вертикальное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положение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Амперметр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Э42704; диапазон 0 — 600 А; 600/5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А; «красная черта» 600 А; класс точности 1,5; размер 72х72мм; вертикальное положение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Амперметр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Э42704; диапазон 0 — 800 А; 800/5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 xml:space="preserve">А;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«красная черта» 800 А; класс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точности 1,5; размер 72х72мм;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вертикальное положение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Амперметр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Э42704; диапазон 0 — 800 А; 800/5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А; «красная черта» 450 А; класс точности 1,5; размер 72х72мм;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вертикальное положение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Амперметр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Э42704; диапазон 0 — 1000 А; 1000/5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А; «красная черта» 680 А; класс точности 1,5; размер 72х72мм;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вертикальное положение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Амперметр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Э42704; диапазон 0 — 1000 А; 1000/5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А; «красная черта» 800 А; класс точности 1,5; размер 72х72мм;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вертикальное положение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Амперметр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Э42704; диапазон 0 — 1500 А; 1500/5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А; «красная черта» 600 А; класс точности 1,5; размер 72х72мм;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вертикальное положение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Вольтметр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Ц42704 диапазон 0 — 500 В; «красная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черта» 410 В; класс точности 1,5;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размер 72х72мм; вертикальное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-102" w:hanging="0"/>
              <w:jc w:val="left"/>
              <w:rPr>
                <w:sz w:val="22"/>
                <w:szCs w:val="22"/>
                <w:lang w:val="en-US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положение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Прибор для измерений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показателей качества и учета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электрической энергии*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kern w:val="0"/>
                <w:sz w:val="22"/>
                <w:szCs w:val="22"/>
                <w:lang w:val="en-US" w:bidi="ar-SA"/>
              </w:rPr>
              <w:t xml:space="preserve">SATEC PM130P Plus-50Hz-5-H-ACDC-870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Iвх=0...5А; Uвх=100В.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Измерения: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- напряжения, тока, частоты;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- тока нейтрали;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- мощности (активной, реактивной, полной);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- коэффициента мощности cosφ общего и пофазно;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- среднего тока 3-фаз, среднего напряж. 3-фаз.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- определение несимметрии токов и напряжений, порядка чередования фаз.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Установка часов и метки времени (с модулем TOU+4DI).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Регистрация максимумов и минимумов с присвоением метки времени.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Контроль 16 программируемых уставок (мониторинг превышения заданных значений).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Специальные модификации частоты 25/50/60/400 Гц.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Количество фаз — 3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Количество тарифов — 12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Напряжение электропитания: - 220В DC, 24В DC, 220В AC, 48В DC, 110В DC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Номинальное линейное напряжение в цепях измерения - 380В, 100В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Класс точности - 0,5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Поддержка АСКУЭ/АСТУЭ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Межповерочный интервал - 14 лет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Диапазон рабочих темп., °С - от -40°C до +70°C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Способ крепления - щитовой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Тип прибора - цифровой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Протокол передачи - Modbus, МЭК 60870-5-101/104, DNP 3,0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Частота - 50 Гц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Тип индикатора - светодиодный дисплей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Аналоговые входы - Нет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Тип интерфейса - RS-232, RS-485, Ethernet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Наличие экрана - Да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Расчет показателей качества электроэнергии - Да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Номинальный ток в цепях измерения - 1А, 5А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Размеры не более, ШxВxГ, мм - 114х114х109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Вес не более, кг - 0,7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Standard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i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Источник питания*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kern w:val="0"/>
                <w:sz w:val="22"/>
                <w:szCs w:val="22"/>
                <w:lang w:val="en-US" w:bidi="ar-SA"/>
              </w:rPr>
              <w:t>PHOENIX CONTACT QUINT-PS/1AC/24DC/20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 xml:space="preserve">Габариты не более ШхВхГ, мм - 90х130х125. Диапазон входных напряжений - 85 В AC ... 264 В AC, 90 В DC ... 350 В DC.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Выходное номинальное напряжение - 24 В DC.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Диапазон настройки выходного напряжения - 18 В DC ... 29,5 В DC (&gt;24 В DC, ограничение по постоянной мощности). Номинальный</w:t>
            </w:r>
            <w:r>
              <w:rPr>
                <w:color w:val="000000"/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ток</w:t>
            </w:r>
            <w:r>
              <w:rPr>
                <w:color w:val="000000"/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на</w:t>
            </w:r>
            <w:r>
              <w:rPr>
                <w:color w:val="000000"/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выходе</w:t>
            </w:r>
            <w:r>
              <w:rPr>
                <w:color w:val="000000"/>
                <w:kern w:val="0"/>
                <w:sz w:val="22"/>
                <w:szCs w:val="22"/>
                <w:lang w:val="en-US" w:bidi="ar-SA"/>
              </w:rPr>
              <w:t xml:space="preserve"> - 20 </w:t>
            </w: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А</w:t>
            </w:r>
            <w:r>
              <w:rPr>
                <w:color w:val="000000"/>
                <w:kern w:val="0"/>
                <w:sz w:val="22"/>
                <w:szCs w:val="22"/>
                <w:lang w:val="en-US" w:bidi="ar-SA"/>
              </w:rPr>
              <w:t xml:space="preserve">. POWER BOOST - 26 </w:t>
            </w: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А</w:t>
            </w:r>
            <w:r>
              <w:rPr>
                <w:color w:val="000000"/>
                <w:kern w:val="0"/>
                <w:sz w:val="22"/>
                <w:szCs w:val="22"/>
                <w:lang w:val="en-US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kern w:val="0"/>
                <w:sz w:val="22"/>
                <w:szCs w:val="22"/>
                <w:lang w:val="en-US" w:bidi="ar-SA"/>
              </w:rPr>
              <w:t xml:space="preserve">Selective Fuse Breaking - 120 A (12 </w:t>
            </w: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мс</w:t>
            </w:r>
            <w:r>
              <w:rPr>
                <w:color w:val="000000"/>
                <w:kern w:val="0"/>
                <w:sz w:val="22"/>
                <w:szCs w:val="22"/>
                <w:lang w:val="en-US" w:bidi="ar-SA"/>
              </w:rPr>
              <w:t>)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Конденсатор*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КЕМЕТ MKP C.4C, code C4CAYUD3220AA3J, 0,22 μF, Un=3000 V-, Urms=750 V~, -40...+85С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Выключатель концевой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ВП 19М-21Б-421-67 У2.16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Материал корпуса – силумин (алюминиево- кремниевый сплав);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Степень защиты IP - IP67 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Тип элемента управления – роликовый толкатель;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Высота датчика - 157 мм;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Длина датчика — 46 мм;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Ширина датчика - 62 мм;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 xml:space="preserve">Кол-во нормально замкнутых (НЗ) контактов — 2;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Кол-во нормально разомкнутых (НО) контактов — 2;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Номинальный рабочий ток Ie при AC- 15, 230 В - 10 А; Номинальный рабочий ток Ie при DC-13, 230 В — 10 А.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Блок контроля температуры*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Термодат 11МЗТ1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Входы - четыре или восемь входов для термосопротивлений;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Выходы - 4 реле на блоке индикации и управления;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Напряжение питания - Номинальное ~ 220В, допустимое ~160…250В;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Диапазон температур эксплуатации - От -30°С до 40°С;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Корпус - для щитового монтажа;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Двухстрочный алфавитно-цифровой дисплей;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Габариты - Лицевая панель не более96х96мм, глубина не более 92мм, вырез в щите не более 92х92мм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- активный контур защиты от электромагнитного поля трансформатора,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- функция интеллектуального мониторинга,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sz w:val="22"/>
                <w:szCs w:val="22"/>
                <w:lang w:val="ru-RU" w:bidi="ar-SA"/>
              </w:rPr>
              <w:t>- диагностика показаний датчиков FCD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Standard"/>
              <w:widowControl w:val="false"/>
              <w:suppressAutoHyphens w:val="true"/>
              <w:spacing w:before="0" w:after="0"/>
              <w:jc w:val="center"/>
              <w:rPr>
                <w:color w:val="000000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30" w:name="_GoBack_Копия_1"/>
            <w:bookmarkStart w:id="31" w:name="_GoBack_Копия_1"/>
            <w:bookmarkEnd w:id="31"/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Программируемый логический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контроллер*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ОВЕН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ПЛК</w:t>
            </w:r>
            <w:r>
              <w:rPr>
                <w:kern w:val="0"/>
                <w:sz w:val="22"/>
                <w:szCs w:val="22"/>
                <w:lang w:val="en-US" w:bidi="ar-SA"/>
              </w:rPr>
              <w:t>110-24.30-</w:t>
            </w:r>
            <w:r>
              <w:rPr>
                <w:kern w:val="0"/>
                <w:sz w:val="22"/>
                <w:szCs w:val="22"/>
                <w:lang w:val="ru-RU" w:bidi="ar-SA"/>
              </w:rPr>
              <w:t>ТЛ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Контроллер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для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телеметрии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и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bidi="ar-SA"/>
              </w:rPr>
              <w:t>диспетчеризации</w:t>
            </w:r>
            <w:r>
              <w:rPr>
                <w:kern w:val="0"/>
                <w:sz w:val="22"/>
                <w:szCs w:val="22"/>
                <w:lang w:val="en-US" w:bidi="ar-SA"/>
              </w:rPr>
              <w:t>, 18 DI, 12 DO (</w:t>
            </w:r>
            <w:r>
              <w:rPr>
                <w:kern w:val="0"/>
                <w:sz w:val="22"/>
                <w:szCs w:val="22"/>
                <w:lang w:val="ru-RU" w:bidi="ar-SA"/>
              </w:rPr>
              <w:t>реле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1 3</w:t>
            </w:r>
            <w:r>
              <w:rPr>
                <w:kern w:val="0"/>
                <w:sz w:val="22"/>
                <w:szCs w:val="22"/>
                <w:lang w:val="ru-RU" w:bidi="ar-SA"/>
              </w:rPr>
              <w:t>А</w:t>
            </w:r>
            <w:r>
              <w:rPr>
                <w:kern w:val="0"/>
                <w:sz w:val="22"/>
                <w:szCs w:val="22"/>
                <w:lang w:val="en-US" w:bidi="ar-SA"/>
              </w:rPr>
              <w:t>), 24</w:t>
            </w:r>
            <w:r>
              <w:rPr>
                <w:kern w:val="0"/>
                <w:sz w:val="22"/>
                <w:szCs w:val="22"/>
                <w:lang w:val="ru-RU" w:bidi="ar-SA"/>
              </w:rPr>
              <w:t>В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, RS-485=2 </w:t>
            </w:r>
            <w:r>
              <w:rPr>
                <w:kern w:val="0"/>
                <w:sz w:val="22"/>
                <w:szCs w:val="22"/>
                <w:lang w:val="ru-RU" w:bidi="ar-SA"/>
              </w:rPr>
              <w:t>шт</w:t>
            </w:r>
            <w:r>
              <w:rPr>
                <w:kern w:val="0"/>
                <w:sz w:val="22"/>
                <w:szCs w:val="22"/>
                <w:lang w:val="en-US" w:bidi="ar-SA"/>
              </w:rPr>
              <w:t>, RS-232, RS-232-Debug, Ethernet 100 Base-T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Вычислительные ресурсы - 400 МГц,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процессор - 128 кБайт+3 МБ (размер heap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варьируется), ОЗУ – 6 МБ, FLASH-диск ПЛК –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есть, EmbOS Segger - ОС реального времени,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Интерфейсы - RS-232, RS-232 Debug, RS-485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>
              <w:rPr>
                <w:kern w:val="0"/>
                <w:sz w:val="22"/>
                <w:szCs w:val="22"/>
                <w:lang w:val="en-US" w:bidi="ar-SA"/>
              </w:rPr>
              <w:t xml:space="preserve">(1 </w:t>
            </w:r>
            <w:r>
              <w:rPr>
                <w:kern w:val="0"/>
                <w:sz w:val="22"/>
                <w:szCs w:val="22"/>
                <w:lang w:val="ru-RU" w:bidi="ar-SA"/>
              </w:rPr>
              <w:t>или</w:t>
            </w:r>
            <w:r>
              <w:rPr>
                <w:kern w:val="0"/>
                <w:sz w:val="22"/>
                <w:szCs w:val="22"/>
                <w:lang w:val="en-US" w:bidi="ar-SA"/>
              </w:rPr>
              <w:t xml:space="preserve"> 2), Ethernet, USB Device, USB Host,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работа по беспроводным сетям – SMS, CSD,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GPRS, питание 5 В в RS-232 есть, источник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питания для часов RTC - заменяемая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стандартная батарейка CR2032, источник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питания для Retain - используется MRAM,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ведение архивов на USB Flash - до 8 ГБ,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быстрые входы - есть, 100 кГц, быстрые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выходы - до 100 кГц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50" w:hRule="atLeast"/>
        </w:trPr>
        <w:tc>
          <w:tcPr>
            <w:tcW w:w="852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Реле промежуночно-указательное</w:t>
            </w:r>
          </w:p>
        </w:tc>
        <w:tc>
          <w:tcPr>
            <w:tcW w:w="51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РЭПУ-12М-211-1УЗ 220В, 50 Гц</w:t>
            </w:r>
          </w:p>
        </w:tc>
        <w:tc>
          <w:tcPr>
            <w:tcW w:w="1984" w:type="dxa"/>
            <w:tcBorders>
              <w:top w:val="nil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color w:val="000000"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before="60" w:after="60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kern w:val="0"/>
                <w:sz w:val="24"/>
                <w:szCs w:val="24"/>
                <w:lang w:val="ru-RU" w:bidi="ar-SA"/>
              </w:rPr>
              <w:t>Требования к доставке, упаковке, транспортировке, перемещению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>
          <w:trHeight w:val="650" w:hRule="atLeast"/>
        </w:trPr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Место поставки продукции</w:t>
            </w:r>
          </w:p>
        </w:tc>
        <w:tc>
          <w:tcPr>
            <w:tcW w:w="51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Доставка продукции осуществляется до склада Заказчика по адресу: РФ, 617760, Пермский край, Чайковский городской округ,                                 г. Чайковский, территория Воткинской ГЭС, дом 1/2.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i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Style17"/>
              <w:keepNext w:val="false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  <w:b w:val="false"/>
                <w:lang w:val="en-US" w:eastAsia="ru-RU"/>
              </w:rPr>
            </w:pPr>
            <w:bookmarkStart w:id="32" w:name="_Toc130548360"/>
            <w:r>
              <w:rPr>
                <w:rFonts w:eastAsia="Times New Roman" w:cs="" w:ascii="Calibri" w:hAnsi="Calibri"/>
                <w:b w:val="false"/>
                <w:kern w:val="0"/>
                <w:sz w:val="20"/>
                <w:szCs w:val="20"/>
                <w:lang w:val="en-US" w:eastAsia="ru-RU" w:bidi="ar-SA"/>
              </w:rPr>
              <w:t>-</w:t>
            </w:r>
            <w:bookmarkEnd w:id="32"/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203" w:hRule="atLeast"/>
        </w:trPr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Условия поставки</w:t>
            </w:r>
          </w:p>
        </w:tc>
        <w:tc>
          <w:tcPr>
            <w:tcW w:w="51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- Доставка продукции Заказчику осуществляется силами, средствами и за счет Поставщика в рабочее время с 9-00 до 15-00 часов в срок, указанный в подразделе 2.1.2 настоящих ТТ.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 Продукция без обязательных сопроводительных документов, указанных в п.4.1. настоящей Таблицы, не принимается, ответственность за ее сохранность Заказчик не несет.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 Дата, время доставки продукции, государственный № транспорта, ФИО сотрудников Поставщика в обязательном порядке должны быть согласованы в письменном виде с ответственным сотрудником Заказчика не позднее 12-00 часов дня по московскому времени, предшествующего дню поставки.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  <w:highlight w:val="yellow"/>
              </w:rPr>
            </w:pPr>
            <w:r>
              <w:rPr>
                <w:i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Требования к упаковке</w:t>
            </w:r>
          </w:p>
        </w:tc>
        <w:tc>
          <w:tcPr>
            <w:tcW w:w="51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Продукция должно быть упаковано в заводскую упаковку, упаковка должна обеспечивать защиту продукции от загрязнения и обеспечивать его сохранность при транспортировке. Упаковка не должна быть нарушена или повреждена.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before="60" w:after="60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Срок гарантии</w:t>
            </w:r>
          </w:p>
        </w:tc>
        <w:tc>
          <w:tcPr>
            <w:tcW w:w="51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Гарантийный срок на </w:t>
            </w:r>
            <w:r>
              <w:rPr>
                <w:kern w:val="0"/>
                <w:sz w:val="24"/>
                <w:szCs w:val="24"/>
                <w:shd w:fill="FFFFFF" w:val="clear"/>
                <w:lang w:val="ru-RU" w:bidi="ar-SA"/>
              </w:rPr>
              <w:t>продукцию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 должен соответствовать нормативно-техническим документам и исчисляться с даты подписания Заказчиком товарной накладной унифицированной формы ТОРГ-12.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Style1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" w:ascii="Calibri" w:hAnsi="Calib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before="60" w:after="60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Объем комплектации</w:t>
            </w:r>
          </w:p>
        </w:tc>
        <w:tc>
          <w:tcPr>
            <w:tcW w:w="51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 xml:space="preserve">На всю поставленную </w:t>
            </w:r>
            <w:r>
              <w:rPr>
                <w:rFonts w:eastAsia="Calibri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продукцию</w:t>
            </w: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 xml:space="preserve"> должны быть предоставлены паспорта, сертификаты соответствия продукции, а также инструкции по эксплуатации и хранению от завода-изготовителя. Сертификаты соответствия должны быть выданы отраслевыми органами сертификации и заверены печатью Поставщика. 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en-US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Style1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" w:ascii="Calibri" w:hAnsi="Calib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before="60" w:after="60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Прочие (дополнительные) требования к продукции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kern w:val="0"/>
                <w:lang w:val="ru-RU" w:bidi="ar-SA"/>
              </w:rPr>
            </w:pPr>
            <w:r>
              <w:rPr>
                <w:b/>
                <w:kern w:val="0"/>
                <w:lang w:val="ru-RU" w:bidi="ar-SA"/>
              </w:rPr>
              <w:t>-//-</w:t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kern w:val="0"/>
                <w:lang w:val="ru-RU" w:bidi="ar-SA"/>
              </w:rPr>
            </w:pPr>
            <w:r>
              <w:rPr>
                <w:b/>
                <w:kern w:val="0"/>
                <w:lang w:val="ru-RU" w:bidi="ar-SA"/>
              </w:rPr>
              <w:t>-//-</w:t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kern w:val="0"/>
                <w:lang w:val="ru-RU" w:bidi="ar-SA"/>
              </w:rPr>
            </w:pPr>
            <w:r>
              <w:rPr>
                <w:b/>
                <w:kern w:val="0"/>
                <w:lang w:val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10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>Требования к происхождению поставляемой продукции</w:t>
            </w:r>
          </w:p>
        </w:tc>
        <w:tc>
          <w:tcPr>
            <w:tcW w:w="51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 xml:space="preserve">В соответствии с нормами Постановления Правительства РФ от 23.12.2024 №1875 при проведении настоящей закупки национальный режим не предоставляется.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 xml:space="preserve">В соответствии с Формой Коммерческого предложения (включая Структуру НМЦ) (Форма 3), приведенной в отдельном файле в составе Документации о закупке, устанавливается </w:t>
            </w:r>
            <w:r>
              <w:rPr>
                <w:b/>
                <w:i/>
                <w:iCs/>
                <w:kern w:val="0"/>
                <w:sz w:val="24"/>
                <w:szCs w:val="24"/>
                <w:lang w:val="ru-RU" w:bidi="ar-SA"/>
              </w:rPr>
              <w:t>ограничение поставки товаров, происходящих из иностранных государств</w:t>
            </w:r>
            <w:r>
              <w:rPr>
                <w:rFonts w:eastAsia="Symbol" w:cs="Symbol"/>
                <w:i/>
                <w:kern w:val="0"/>
                <w:sz w:val="24"/>
                <w:szCs w:val="24"/>
                <w:lang w:val="en-US" w:bidi="ar-SA"/>
              </w:rPr>
              <w:t> </w:t>
            </w:r>
            <w:r>
              <w:rPr>
                <w:b/>
                <w:i/>
                <w:iCs/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rFonts w:eastAsia="Symbol" w:cs="Symbol"/>
                <w:i/>
                <w:kern w:val="0"/>
                <w:sz w:val="24"/>
                <w:szCs w:val="24"/>
                <w:lang w:val="en-US" w:bidi="ar-SA"/>
              </w:rPr>
              <w:t> </w:t>
            </w:r>
            <w:r>
              <w:rPr>
                <w:b/>
                <w:i/>
                <w:iCs/>
                <w:kern w:val="0"/>
                <w:sz w:val="24"/>
                <w:szCs w:val="24"/>
                <w:lang w:val="ru-RU" w:bidi="ar-SA"/>
              </w:rPr>
              <w:t>преимущество товаров российского происхождения</w:t>
            </w:r>
            <w:r>
              <w:rPr>
                <w:iCs/>
                <w:kern w:val="0"/>
                <w:sz w:val="24"/>
                <w:szCs w:val="24"/>
                <w:lang w:val="ru-RU" w:bidi="ar-SA"/>
              </w:rPr>
              <w:t>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  <w:lang w:val="en-US"/>
              </w:rPr>
            </w:pPr>
            <w:r>
              <w:rPr>
                <w:rFonts w:eastAsia="Symbol" w:cs="Symbol"/>
                <w:i/>
                <w:kern w:val="0"/>
                <w:sz w:val="24"/>
                <w:szCs w:val="24"/>
                <w:lang w:val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13" w:right="-103" w:hanging="0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bidi="ar-SA"/>
              </w:rPr>
              <w:t>Документы и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 (далее - Постановление № 1875) или гарантийное письмо (в соответствие с разъяснением Министерства Финансов РФ от 31.01.2025 №24-01-06/8697) о представлении поставщиком информации и документов, подтверждающих страну происхождения товара в соответствии с требованиями Постановления № 1875 до момента поставки товара заказчику (указанные требования должны быть отражены в гарантийном письме)</w:t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Style21"/>
              <w:widowControl w:val="false"/>
              <w:numPr>
                <w:ilvl w:val="0"/>
                <w:numId w:val="0"/>
              </w:numPr>
              <w:suppressAutoHyphens w:val="true"/>
              <w:spacing w:before="80" w:after="80"/>
              <w:ind w:left="25" w:hanging="0"/>
              <w:rPr>
                <w:lang w:val="en-US"/>
              </w:rPr>
            </w:pPr>
            <w:r>
              <w:rPr>
                <w:kern w:val="0"/>
                <w:lang w:val="en-US" w:bidi="ar-SA"/>
              </w:rPr>
              <w:t>5.2.</w:t>
            </w:r>
          </w:p>
        </w:tc>
        <w:tc>
          <w:tcPr>
            <w:tcW w:w="310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Дополнительные требования к продукции</w:t>
            </w:r>
          </w:p>
        </w:tc>
        <w:tc>
          <w:tcPr>
            <w:tcW w:w="51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bookmarkStart w:id="33" w:name="_GoBack"/>
            <w:bookmarkEnd w:id="33"/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 xml:space="preserve">Не допускается поставка бывших в употреблении, контрафактных и восстановленных </w:t>
            </w:r>
            <w:r>
              <w:rPr>
                <w:rFonts w:eastAsia="Calibri"/>
                <w:color w:val="000000" w:themeColor="text1"/>
                <w:kern w:val="0"/>
                <w:sz w:val="24"/>
                <w:szCs w:val="24"/>
                <w:lang w:val="ru-RU" w:bidi="ar-SA"/>
              </w:rPr>
              <w:t>запасных частей и комплектующих.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en-US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Style1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" w:ascii="Calibri" w:hAnsi="Calib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before="0" w:after="60"/>
        <w:ind w:left="426" w:hanging="0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2.2.1. В составе заявки необходимо предоставить:</w:t>
      </w:r>
    </w:p>
    <w:p>
      <w:pPr>
        <w:pStyle w:val="Normal"/>
        <w:spacing w:before="0" w:after="60"/>
        <w:jc w:val="both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Участник в составе своей заявки для подтверждения соответствия заявленных характеристик и конструктива предлагаемой продукции требованиям настоящих ТТ, предоставляет следующие документы: </w:t>
      </w:r>
    </w:p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709"/>
          <w:pgNumType w:fmt="decimal"/>
          <w:formProt w:val="false"/>
          <w:titlePg/>
          <w:textDirection w:val="lrTb"/>
          <w:docGrid w:type="default" w:linePitch="381" w:charSpace="0"/>
        </w:sectPr>
        <w:pStyle w:val="ListParagraph"/>
        <w:numPr>
          <w:ilvl w:val="0"/>
          <w:numId w:val="5"/>
        </w:numPr>
        <w:spacing w:before="0" w:after="60"/>
        <w:ind w:left="426" w:hanging="426"/>
        <w:contextualSpacing w:val="false"/>
        <w:jc w:val="both"/>
        <w:rPr/>
      </w:pPr>
      <w:r>
        <w:rPr>
          <w:iCs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Heading3"/>
        <w:rPr/>
      </w:pPr>
      <w:bookmarkStart w:id="34" w:name="_Toc75446583"/>
      <w:bookmarkStart w:id="35" w:name="_Toc130991124"/>
      <w:bookmarkStart w:id="36" w:name="_Toc53393312"/>
      <w:r>
        <w:rPr>
          <w:sz w:val="28"/>
          <w:szCs w:val="28"/>
          <w:lang w:val="ru-RU"/>
        </w:rPr>
        <w:t>3</w:t>
      </w:r>
      <w:r>
        <w:rPr>
          <w:lang w:val="ru-RU"/>
        </w:rPr>
        <w:t xml:space="preserve">. </w:t>
      </w:r>
      <w:r>
        <w:rPr>
          <w:sz w:val="28"/>
          <w:szCs w:val="28"/>
        </w:rPr>
        <w:t>Требования к документации по ценообразованию</w:t>
      </w:r>
      <w:bookmarkEnd w:id="36"/>
      <w:r>
        <w:rPr>
          <w:sz w:val="28"/>
          <w:szCs w:val="28"/>
        </w:rPr>
        <w:t xml:space="preserve"> на этапе закупки</w:t>
      </w:r>
      <w:bookmarkEnd w:id="34"/>
      <w:bookmarkEnd w:id="35"/>
    </w:p>
    <w:p>
      <w:pPr>
        <w:pStyle w:val="Normal"/>
        <w:tabs>
          <w:tab w:val="clear" w:pos="708"/>
          <w:tab w:val="left" w:pos="567" w:leader="none"/>
        </w:tabs>
        <w:jc w:val="both"/>
        <w:rPr>
          <w:bCs/>
          <w:iCs/>
          <w:sz w:val="24"/>
          <w:szCs w:val="24"/>
          <w:lang w:eastAsia="x-none"/>
        </w:rPr>
      </w:pPr>
      <w:r>
        <w:rPr>
          <w:rFonts w:eastAsia="Calibri"/>
          <w:sz w:val="24"/>
          <w:szCs w:val="24"/>
        </w:rPr>
        <w:t xml:space="preserve">3.1. </w:t>
      </w:r>
      <w:r>
        <w:rPr>
          <w:bCs/>
          <w:iCs/>
          <w:sz w:val="24"/>
          <w:szCs w:val="24"/>
          <w:lang w:eastAsia="x-none"/>
        </w:rPr>
        <w:t>Стоимость продукции должна включать затраты на упаковку, 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 xml:space="preserve">3.2. В обоснование стоимости своей заявки Участник предоставляет Коммерческое предложение по форме </w:t>
      </w:r>
      <w:bookmarkStart w:id="37" w:name="_Hlk88325985"/>
      <w:r>
        <w:rPr>
          <w:bCs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37"/>
      <w:r>
        <w:rPr>
          <w:bCs/>
          <w:iCs/>
          <w:sz w:val="24"/>
          <w:szCs w:val="24"/>
          <w:lang w:eastAsia="x-none"/>
        </w:rPr>
        <w:t>, приведенной в Документации о закупке.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3.3. Дополнительные документы по ценообразованию в состав заявки не включаются.</w:t>
      </w:r>
    </w:p>
    <w:p>
      <w:pPr>
        <w:pStyle w:val="Normal"/>
        <w:jc w:val="both"/>
        <w:rPr>
          <w:bCs/>
          <w:sz w:val="24"/>
          <w:szCs w:val="24"/>
          <w:lang w:eastAsia="x-none"/>
        </w:rPr>
      </w:pPr>
      <w:r>
        <w:rPr/>
      </w:r>
    </w:p>
    <w:sectPr>
      <w:headerReference w:type="default" r:id="rId7"/>
      <w:headerReference w:type="first" r:id="rId8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222BE59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222BE590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659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505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1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83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95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-3099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-25952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revisionView w:insDel="0" w:formatting="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071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560717"/>
    <w:pPr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61691a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3"/>
    <w:autoRedefine/>
    <w:qFormat/>
    <w:rsid w:val="007b4116"/>
    <w:pPr>
      <w:keepNext w:val="true"/>
      <w:spacing w:before="120" w:after="60"/>
      <w:ind w:left="720" w:hanging="436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560717"/>
    <w:pPr>
      <w:numPr>
        <w:ilvl w:val="1"/>
      </w:numPr>
      <w:ind w:left="720" w:hanging="436"/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560717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qFormat/>
    <w:rsid w:val="007b4116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560717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Style5" w:customStyle="1">
    <w:name w:val="Текст сноски Знак"/>
    <w:basedOn w:val="DefaultParagraphFont"/>
    <w:uiPriority w:val="99"/>
    <w:qFormat/>
    <w:rsid w:val="0056071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Символ сноски"/>
    <w:qFormat/>
    <w:rsid w:val="0056071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7" w:customStyle="1">
    <w:name w:val="Верхний колонтитул Знак"/>
    <w:basedOn w:val="DefaultParagraphFont"/>
    <w:uiPriority w:val="99"/>
    <w:qFormat/>
    <w:rsid w:val="0056071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560717"/>
    <w:rPr/>
  </w:style>
  <w:style w:type="character" w:styleId="Style8" w:customStyle="1">
    <w:name w:val="Абзац списка Знак"/>
    <w:link w:val="ListParagraph"/>
    <w:uiPriority w:val="34"/>
    <w:qFormat/>
    <w:locked/>
    <w:rsid w:val="00560717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9" w:customStyle="1">
    <w:name w:val="комментарий"/>
    <w:qFormat/>
    <w:rsid w:val="00560717"/>
    <w:rPr>
      <w:b/>
      <w:i/>
      <w:shd w:fill="FFFF99" w:val="clear"/>
    </w:rPr>
  </w:style>
  <w:style w:type="character" w:styleId="Hyperlink">
    <w:name w:val="Hyperlink"/>
    <w:basedOn w:val="DefaultParagraphFont"/>
    <w:uiPriority w:val="99"/>
    <w:unhideWhenUsed/>
    <w:rsid w:val="004c602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6021"/>
    <w:rPr>
      <w:color w:val="954F72" w:themeColor="followedHyperlink"/>
      <w:u w:val="single"/>
    </w:rPr>
  </w:style>
  <w:style w:type="character" w:styleId="2" w:customStyle="1">
    <w:name w:val="Заголовок 2 Знак"/>
    <w:basedOn w:val="DefaultParagraphFont"/>
    <w:uiPriority w:val="9"/>
    <w:qFormat/>
    <w:rsid w:val="0061691a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e1b53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uiPriority w:val="99"/>
    <w:semiHidden/>
    <w:qFormat/>
    <w:rsid w:val="005e1b53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uiPriority w:val="99"/>
    <w:semiHidden/>
    <w:qFormat/>
    <w:rsid w:val="005e1b53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5e1b53"/>
    <w:rPr>
      <w:rFonts w:ascii="Segoe UI" w:hAnsi="Segoe UI" w:eastAsia="Times New Roman" w:cs="Segoe UI"/>
      <w:sz w:val="18"/>
      <w:szCs w:val="18"/>
      <w:lang w:eastAsia="ru-RU"/>
    </w:rPr>
  </w:style>
  <w:style w:type="character" w:styleId="Style13" w:customStyle="1">
    <w:name w:val="Ссылка указателя"/>
    <w:qFormat/>
    <w:rPr/>
  </w:style>
  <w:style w:type="character" w:styleId="11" w:customStyle="1">
    <w:name w:val="Подпункт Знак1"/>
    <w:link w:val="Style22"/>
    <w:qFormat/>
    <w:locked/>
    <w:rsid w:val="00694711"/>
    <w:rPr>
      <w:sz w:val="28"/>
    </w:rPr>
  </w:style>
  <w:style w:type="character" w:styleId="12" w:customStyle="1">
    <w:name w:val="УРОВЕНЬ_1. Знак"/>
    <w:link w:val="13"/>
    <w:qFormat/>
    <w:rsid w:val="00694711"/>
    <w:rPr>
      <w:rFonts w:eastAsia="Calibri"/>
      <w:caps/>
      <w:sz w:val="28"/>
      <w:szCs w:val="28"/>
    </w:rPr>
  </w:style>
  <w:style w:type="character" w:styleId="Linenumber1" w:customStyle="1">
    <w:name w:val="line number1"/>
    <w:qFormat/>
    <w:rPr/>
  </w:style>
  <w:style w:type="character" w:styleId="Linenumber2" w:customStyle="1">
    <w:name w:val="line number2"/>
    <w:qFormat/>
    <w:rPr/>
  </w:style>
  <w:style w:type="character" w:styleId="Linenumber3" w:customStyle="1">
    <w:name w:val="line number3"/>
    <w:qFormat/>
    <w:rPr/>
  </w:style>
  <w:style w:type="character" w:styleId="Linenumber4" w:customStyle="1">
    <w:name w:val="line number4"/>
    <w:qFormat/>
    <w:rPr/>
  </w:style>
  <w:style w:type="character" w:styleId="Linenumber5">
    <w:name w:val="line number5"/>
    <w:qFormat/>
    <w:rPr/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FootnoteText">
    <w:name w:val="Footnote Text"/>
    <w:basedOn w:val="Normal"/>
    <w:link w:val="Style5"/>
    <w:uiPriority w:val="99"/>
    <w:rsid w:val="00560717"/>
    <w:pPr/>
    <w:rPr>
      <w:sz w:val="20"/>
      <w:szCs w:val="20"/>
    </w:rPr>
  </w:style>
  <w:style w:type="paragraph" w:styleId="Style16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7"/>
    <w:uiPriority w:val="99"/>
    <w:rsid w:val="00560717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ListParagraph">
    <w:name w:val="List Paragraph"/>
    <w:basedOn w:val="Normal"/>
    <w:link w:val="Style8"/>
    <w:qFormat/>
    <w:rsid w:val="00560717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Style17" w:customStyle="1">
    <w:name w:val="Таблица"/>
    <w:basedOn w:val="Normal"/>
    <w:qFormat/>
    <w:rsid w:val="00560717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Default" w:customStyle="1">
    <w:name w:val="Default"/>
    <w:qFormat/>
    <w:rsid w:val="0056071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7b4116"/>
    <w:pPr>
      <w:tabs>
        <w:tab w:val="clear" w:pos="708"/>
        <w:tab w:val="right" w:pos="10055" w:leader="dot"/>
      </w:tabs>
      <w:spacing w:before="0" w:after="100"/>
      <w:ind w:left="560" w:hanging="560"/>
    </w:pPr>
    <w:rPr/>
  </w:style>
  <w:style w:type="paragraph" w:styleId="TOC1">
    <w:name w:val="TOC 1"/>
    <w:basedOn w:val="Normal"/>
    <w:next w:val="Normal"/>
    <w:autoRedefine/>
    <w:uiPriority w:val="39"/>
    <w:unhideWhenUsed/>
    <w:rsid w:val="006f0097"/>
    <w:pPr>
      <w:tabs>
        <w:tab w:val="clear" w:pos="708"/>
        <w:tab w:val="left" w:pos="426" w:leader="none"/>
        <w:tab w:val="right" w:pos="10055" w:leader="dot"/>
      </w:tabs>
      <w:spacing w:before="0" w:after="100"/>
    </w:pPr>
    <w:rPr/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4c6021"/>
    <w:pPr>
      <w:keepLines/>
      <w:spacing w:lineRule="auto" w:line="259" w:before="240" w:after="0"/>
      <w:ind w:left="0" w:hanging="0"/>
      <w:outlineLvl w:val="9"/>
    </w:pPr>
    <w:rPr>
      <w:rFonts w:ascii="Calibri Light" w:hAnsi="Calibri Light" w:eastAsia="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OC2">
    <w:name w:val="TOC 2"/>
    <w:basedOn w:val="Normal"/>
    <w:next w:val="Normal"/>
    <w:autoRedefine/>
    <w:uiPriority w:val="39"/>
    <w:unhideWhenUsed/>
    <w:rsid w:val="004c6021"/>
    <w:pPr>
      <w:spacing w:lineRule="auto" w:line="259" w:before="0" w:after="100"/>
      <w:ind w:left="220" w:hanging="0"/>
    </w:pPr>
    <w:rPr>
      <w:rFonts w:ascii="Calibri" w:hAnsi="Calibri" w:eastAsia="" w:asciiTheme="minorHAnsi" w:eastAsiaTheme="minorEastAsia" w:hAnsiTheme="minorHAns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7b4116"/>
    <w:pPr>
      <w:tabs>
        <w:tab w:val="clear" w:pos="708"/>
        <w:tab w:val="right" w:pos="10055" w:leader="dot"/>
      </w:tabs>
      <w:spacing w:before="0" w:after="100"/>
      <w:ind w:left="840" w:hanging="840"/>
    </w:pPr>
    <w:rPr/>
  </w:style>
  <w:style w:type="paragraph" w:styleId="Annotationtext">
    <w:name w:val="annotation text"/>
    <w:basedOn w:val="Normal"/>
    <w:link w:val="Style10"/>
    <w:uiPriority w:val="99"/>
    <w:semiHidden/>
    <w:unhideWhenUsed/>
    <w:qFormat/>
    <w:rsid w:val="005e1b53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1"/>
    <w:uiPriority w:val="99"/>
    <w:semiHidden/>
    <w:unhideWhenUsed/>
    <w:qFormat/>
    <w:rsid w:val="005e1b53"/>
    <w:pPr/>
    <w:rPr>
      <w:b/>
      <w:bCs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5e1b53"/>
    <w:pPr/>
    <w:rPr>
      <w:rFonts w:ascii="Segoe UI" w:hAnsi="Segoe UI" w:cs="Segoe UI"/>
      <w:sz w:val="18"/>
      <w:szCs w:val="18"/>
    </w:rPr>
  </w:style>
  <w:style w:type="paragraph" w:styleId="Style18" w:customStyle="1">
    <w:name w:val="Содержимое врезки"/>
    <w:basedOn w:val="Normal"/>
    <w:qFormat/>
    <w:pPr/>
    <w:rPr/>
  </w:style>
  <w:style w:type="paragraph" w:styleId="Style19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Style20" w:customStyle="1">
    <w:name w:val="Раздел положения"/>
    <w:basedOn w:val="Normal"/>
    <w:autoRedefine/>
    <w:qFormat/>
    <w:rsid w:val="00694711"/>
    <w:pPr>
      <w:numPr>
        <w:ilvl w:val="0"/>
        <w:numId w:val="6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rsid w:val="00694711"/>
    <w:pPr>
      <w:numPr>
        <w:ilvl w:val="1"/>
        <w:numId w:val="6"/>
      </w:numPr>
      <w:spacing w:before="80" w:after="80"/>
      <w:jc w:val="both"/>
    </w:pPr>
    <w:rPr/>
  </w:style>
  <w:style w:type="paragraph" w:styleId="Style22" w:customStyle="1">
    <w:name w:val="Подпункт"/>
    <w:basedOn w:val="Normal"/>
    <w:link w:val="11"/>
    <w:qFormat/>
    <w:rsid w:val="00694711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rFonts w:ascii="Calibri" w:hAnsi="Calibri" w:eastAsia="Calibri" w:cs="" w:asciiTheme="minorHAnsi" w:cstheme="minorBidi" w:eastAsiaTheme="minorHAnsi" w:hAnsiTheme="minorHAnsi"/>
      <w:szCs w:val="22"/>
      <w:lang w:eastAsia="en-US"/>
    </w:rPr>
  </w:style>
  <w:style w:type="paragraph" w:styleId="13" w:customStyle="1">
    <w:name w:val="УРОВЕНЬ_1."/>
    <w:basedOn w:val="ListParagraph"/>
    <w:link w:val="12"/>
    <w:qFormat/>
    <w:rsid w:val="00694711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rFonts w:ascii="Calibri" w:hAnsi="Calibri" w:cs="" w:asciiTheme="minorHAnsi" w:cstheme="minorBidi" w:hAnsiTheme="minorHAnsi"/>
      <w:caps/>
      <w:sz w:val="28"/>
      <w:szCs w:val="28"/>
      <w:lang w:eastAsia="en-US"/>
    </w:rPr>
  </w:style>
  <w:style w:type="paragraph" w:styleId="Revision">
    <w:name w:val="Revision"/>
    <w:uiPriority w:val="99"/>
    <w:semiHidden/>
    <w:qFormat/>
    <w:rsid w:val="002f06f0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2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4" w:customStyle="1">
    <w:name w:val="Заголовок таблицы"/>
    <w:basedOn w:val="Style23"/>
    <w:qFormat/>
    <w:pPr>
      <w:jc w:val="center"/>
    </w:pPr>
    <w:rPr>
      <w:b/>
      <w:bCs/>
    </w:rPr>
  </w:style>
  <w:style w:type="paragraph" w:styleId="Standard" w:customStyle="1">
    <w:name w:val="Standard"/>
    <w:qFormat/>
    <w:rsid w:val="002255cf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Table Grid"/>
    <w:basedOn w:val="a3"/>
    <w:uiPriority w:val="39"/>
    <w:rsid w:val="00560717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3D9A-B64E-4753-941C-40B8CE61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Application>AlterOffice/3.4.0.9$Linux_X86_64 LibreOffice_project/b8daf9e823b1a5463a2f48435ddc2e8696e7d4fc</Application>
  <AppVersion>15.0000</AppVersion>
  <Pages>15</Pages>
  <Words>2144</Words>
  <Characters>13250</Characters>
  <CharactersWithSpaces>14701</CharactersWithSpaces>
  <Paragraphs>426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2025-04-15T11:03:00Z</dcterms:created>
  <dc:creator>Кондаков Николай Владимирович</dc:creator>
  <dc:description/>
  <dc:language>ru-RU</dc:language>
  <cp:lastModifiedBy>gaynanovdf@corp.gidroogk.com</cp:lastModifiedBy>
  <cp:lastPrinted>2026-06-09T13:53:28Z</cp:lastPrinted>
  <dcterms:modified xsi:type="dcterms:W3CDTF">2026-07-09T13:42:40Z</dcterms:modified>
  <cp:revision>79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